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ListParagraph"/>
        <w:widowControl w:val="false"/>
        <w:numPr>
          <w:ilvl w:val="0"/>
          <w:numId w:val="1"/>
        </w:num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ind w:left="0" w:right="0" w:hanging="360"/>
        <w:contextualSpacing/>
        <w:jc w:val="right"/>
        <w:rPr>
          <w:rFonts w:eastAsia="Tahoma" w:cs="Calibri"/>
          <w:b/>
          <w:bCs/>
          <w:sz w:val="20"/>
          <w:szCs w:val="20"/>
        </w:rPr>
      </w:pPr>
      <w:r>
        <w:rPr>
          <w:rFonts w:eastAsia="Tahoma" w:cs="Calibri"/>
          <w:b/>
          <w:bCs/>
          <w:sz w:val="20"/>
          <w:szCs w:val="20"/>
        </w:rPr>
        <w:t>Załącznik nr 2</w:t>
        <w:tab/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ind w:left="0" w:right="0" w:hanging="360"/>
        <w:contextualSpacing/>
        <w:jc w:val="right"/>
        <w:rPr>
          <w:rFonts w:eastAsia="Tahoma" w:cs="Calibri"/>
          <w:b/>
          <w:bCs/>
          <w:sz w:val="20"/>
          <w:szCs w:val="20"/>
        </w:rPr>
      </w:pPr>
      <w:r>
        <w:rPr>
          <w:rFonts w:eastAsia="Tahoma" w:cs="Calibri"/>
          <w:b/>
          <w:bCs/>
          <w:sz w:val="20"/>
          <w:szCs w:val="20"/>
        </w:rPr>
        <w:t>Zadanie nr 19</w:t>
        <w:tab/>
      </w:r>
    </w:p>
    <w:p>
      <w:pPr>
        <w:pStyle w:val="ListParagraph"/>
        <w:widowControl w:val="false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ind w:left="0" w:right="0" w:hanging="360"/>
        <w:contextualSpacing/>
        <w:rPr>
          <w:rFonts w:eastAsia="Tahoma" w:cs="Calibri"/>
          <w:b/>
          <w:bCs/>
          <w:sz w:val="20"/>
          <w:szCs w:val="20"/>
        </w:rPr>
      </w:pPr>
      <w:r>
        <w:rPr>
          <w:rFonts w:eastAsia="Tahoma" w:cs="Calibri"/>
          <w:b/>
          <w:bCs/>
          <w:sz w:val="20"/>
          <w:szCs w:val="20"/>
        </w:rPr>
      </w:r>
    </w:p>
    <w:p>
      <w:pPr>
        <w:pStyle w:val="ListParagraph"/>
        <w:widowControl w:val="false"/>
        <w:numPr>
          <w:ilvl w:val="0"/>
          <w:numId w:val="1"/>
        </w:numPr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240" w:before="0" w:after="0"/>
        <w:ind w:left="0" w:right="0" w:hanging="360"/>
        <w:contextualSpacing/>
        <w:rPr>
          <w:rFonts w:eastAsia="Tahoma" w:cs="Calibri"/>
          <w:b/>
          <w:bCs/>
          <w:sz w:val="20"/>
          <w:szCs w:val="20"/>
        </w:rPr>
      </w:pPr>
      <w:r>
        <w:rPr>
          <w:rFonts w:eastAsia="Tahoma" w:cs="Calibri"/>
          <w:b/>
          <w:bCs/>
          <w:sz w:val="20"/>
          <w:szCs w:val="20"/>
        </w:rPr>
        <w:t>Aparat USG z pełnym zestawem głowic i kolorowym Dopplerem</w:t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jc w:val="right"/>
        <w:rPr/>
      </w:pPr>
      <w:r>
        <w:rPr/>
      </w:r>
    </w:p>
    <w:tbl>
      <w:tblPr>
        <w:jc w:val="left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  <w:right w:val="single" w:sz="4" w:space="0" w:color="00000A"/>
          <w:insideV w:val="single" w:sz="4" w:space="0" w:color="00000A"/>
        </w:tblBorders>
        <w:tblCellMar>
          <w:top w:w="0" w:type="dxa"/>
          <w:left w:w="93" w:type="dxa"/>
          <w:bottom w:w="0" w:type="dxa"/>
          <w:right w:w="108" w:type="dxa"/>
        </w:tblCellMar>
      </w:tblPr>
      <w:tblGrid>
        <w:gridCol w:w="530"/>
        <w:gridCol w:w="4391"/>
        <w:gridCol w:w="2549"/>
        <w:gridCol w:w="1706"/>
      </w:tblGrid>
      <w:tr>
        <w:trPr>
          <w:trHeight w:val="283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Lp</w:t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Parametr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26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JEDNOSTKA GŁOWNA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Aparat ze zintegrowaną stacją roboczą, systemem archiwizacji oraz videoprinterem B&amp;W sterowanymi z klawiatury.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Aparat fabrycznie nowy, rok produkcji 2019 dostarczony przez autoryzowanego dystrybutora producenta.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Cztery koła skrętne z blokadą min 2 kół w pozycji parkingowej .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Waga aparatu max. 100 Kg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Arial" w:ascii="Tahoma" w:hAnsi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cs="Arial" w:ascii="Tahoma" w:hAnsi="Tahoma"/>
                <w:color w:val="000000"/>
                <w:sz w:val="20"/>
                <w:szCs w:val="20"/>
                <w:lang w:eastAsia="en-US"/>
              </w:rPr>
              <w:t>Wbudowany fabryczny akumulator pozwalający na prcę - dokończenie badania  w przypadku zaniku napięcia przez okres min 20 minut oraz na zahibernowanie systemu celem jego przetransportowania i  ponowne wzbudzenie w czasie do 30s.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Fabrycznie wbudowany monitor LED, kolorowy, bez przeplotu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Przekątna ≥ 21cali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Rozdzielczość monitora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1920x1080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823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Aparat wyposażony w panel dotykowy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TAK, 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10 cali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Możliwość aranżacji panelu dotykowego (personalizacji przez użytkownika) – użytkownik ma możliwość zmienić min.:  położenie przycisków funkcyjnych w dozwolonym obszarze ekranu dotykowego , dodać/usunąć poszczególne przyciski funkcyjne.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osobno dla trybów: 2D, 2D Freeze, Color, Color Freeze, PD, PD Freeze, PW, PW Freeze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33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Wirtualna klawiatura numeryczna dostępna na ekranie dotykowym.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33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Fizyczna klawiatura numeryczna wysuwana spod pulpitu sterowania.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291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Płynna regulacja wysokości panelu sterowania.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Regulacja Góra /dół min. 18 cm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857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Panel sterowania z możliwością obrotu lewo/prawo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Lewo/prawo≥ +/- 30°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42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Dedykowany, wbudowany podgrzewacz żelu z możliwością regulacji temperatury do zainstalowani po prawej lub lewej stronie konsoli operatora w zależnośco od preferencji użytkownika.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Cyfrowa regulacja TGC dostępna na panelu dotykowym, z funkcją zapamiętywania kilku preferowanych ustawień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Skala szarości: min. 256 odcieni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67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Cyfrowy układ formowania wiązki ultradźwiękowej min. 500 000  kanałów procesowych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90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Maksymalna dynamika systemu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250 dB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Zakres pracy dostępnych głowic obrazowych min. 1-16 MHz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Ilość aktywnych,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bezpinowych – równoważnych gniazd do przyłączenia głowic obrazowych.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</w:rPr>
            </w:pPr>
            <w:r>
              <w:rPr>
                <w:rFonts w:eastAsia="GulimChe" w:cs="Calibri" w:ascii="Tahoma" w:hAnsi="Tahoma"/>
                <w:sz w:val="20"/>
                <w:szCs w:val="20"/>
                <w:lang w:eastAsia="ar-SA"/>
              </w:rPr>
              <w:t>Zasłaniane porty głowic w przypadku braku głowicy w porcie</w:t>
            </w:r>
            <w:r>
              <w:rPr>
                <w:rFonts w:cs="Calibri" w:ascii="Tahoma" w:hAnsi="Tahoma"/>
                <w:sz w:val="20"/>
                <w:szCs w:val="20"/>
              </w:rPr>
              <w:t xml:space="preserve">,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3 aktywne 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90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Ilość obrazów pamięci dynamicznej CINE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40000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4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Maksymalny czas zapisywanych pętli filmowych w trybie „w czasie badania” (prospective)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50 sek.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83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Dysk twardy SSD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500 GB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69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Fabrycznie zainstalowany system ochrony antywirusowej.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Archiwizacja sekwencji filmowych na dysku twardym w czasie badania (równoległe nagrywanie) i po zamrożeniu (pętli CINE).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117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exportu obrazów i pętli obrazowych na dyski CD, DVD, pamięci Pen-Drive w formatach min. BMP, JPG, TIFF, DICOM, AVI, MP4 (dla pętli obrazowych)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3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ListParagraph"/>
              <w:spacing w:before="0" w:after="200"/>
              <w:ind w:left="360" w:right="0" w:hanging="0"/>
              <w:contextualSpacing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TRYBY OBRAZOWANIA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Tryb B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Głębokość penetracji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2-35 cm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Wyświetlany zakres pola obrazowego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0-35 cm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trapezowe na głowicach liniowych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409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Maksymalna prędkość obrazowania (frame rate)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1900 fps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Zoom dla obrazów „na żywo” i zatrzymanych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eastAsia="GulimChe"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eastAsia="GulimChe" w:cs="Calibri" w:ascii="Tahoma" w:hAnsi="Tahoma"/>
                <w:sz w:val="20"/>
                <w:szCs w:val="20"/>
                <w:lang w:eastAsia="ar-SA"/>
              </w:rPr>
              <w:t>Powiększenie obrazu w czasie rzeczywistym ze zwiększeniem rozdzielczości  liniowej i czasowej obrazu poprzez ograniczenie pola skanowania do powiększonego wycinka, do lepszej diagnostyki serca płodu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rotacji obrazu o 360° w skoku co 90°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Zmiana wzmocnienia obrazu zamrożonego i obrazu z pamięci CINE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harmoniczne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3 częstotliwości dla każdej oferowanej głowicy obrazowej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harmoniczne z odwróconym impulsem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10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automatycznej optymalizacji obrazu B przy pomocy jednego przycisku.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Tryb M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67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Tryb M z Dopplerem Kolorowym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81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Anatomiczny tryb M.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Tryb Doppler Kolorowy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10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Zakres PRF dla Dopplera kolorowego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 od 0,1KHz do 18KHz</w:t>
            </w:r>
            <w:r>
              <w:rPr>
                <w:rFonts w:cs="Calibri" w:ascii="Tahoma" w:hAnsi="Tahoma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07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automatycznie dostosowujące wzmocnienie w trybie Dopplera kolorowego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708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Maksymalny kąt pochylenia bramki Kolorowego Dopplera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≥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+/- 30°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21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automatycznej optymalizacji dla trybu Dopplera kolorowego min. automatyczne ustawienie i pochylenie bramki ROI realizowane po przyciśnięciu dedykowanego przycisku.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612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złożeniowe (B+B/CD) w czasie rzeczywistym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30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Spektralny Doppler Pulsacyjny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01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Zakres PRF dla Dopplera Pulsacyjnego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od 1KHz do 22KHz</w:t>
            </w:r>
            <w:r>
              <w:rPr>
                <w:rFonts w:cs="Calibri" w:ascii="Tahoma" w:hAnsi="Tahoma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Regulacja wielkości bramki w Dopplerze Pulsacyjnym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≥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0,5-25 mm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92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val="en-US"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val="en-US" w:eastAsia="en-US"/>
              </w:rPr>
              <w:t>Tryb Triplex (B+CD/PD+PWD)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46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automatycznej optymalizacji parametrów przepływu dla trybu spektralnego Dopplera pulsacyjnego min. dopasowanie skali i poziomu linii bazowej, po przyciśnięciu dedykowanego przycisku.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46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Jednoprzyciskowa funkcja automatycznie umieszczająca bramkę SV w trybie PWD w środku naczynia wraz z automatycznym ustawieniem kąta korekcji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ListParagraph"/>
              <w:spacing w:before="0" w:after="200"/>
              <w:ind w:left="360" w:right="0" w:hanging="0"/>
              <w:contextualSpacing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INNE FUNKCJE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633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Obrazowanie krzyżowe na głowicach liniowych i convex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Min. 4 kroki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41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powiększenia obrazu diagnostycznego - zoom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125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Zaawansowany filtr do redukcji szumów specklowych polepszający obrazowanie w trybie 2D z jednoczesnym uwydatnieniem granic tkanek o różnej echogeniczności.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534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Oprogramowanie pomiarowe do badań min: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ginekologicznych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położniczych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echo płodu 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brzusznych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kardiologicznych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mięśniowoszkieletowych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pediatrycznych</w:t>
            </w:r>
          </w:p>
          <w:p>
            <w:pPr>
              <w:pStyle w:val="Normal"/>
              <w:numPr>
                <w:ilvl w:val="0"/>
                <w:numId w:val="2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małych narządów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2160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Pomiary podstawowe na obrazie: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pomiar odległości, 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obwodu, 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pola powierzchni, </w:t>
            </w:r>
          </w:p>
          <w:p>
            <w:pPr>
              <w:pStyle w:val="Normal"/>
              <w:numPr>
                <w:ilvl w:val="0"/>
                <w:numId w:val="3"/>
              </w:numPr>
              <w:suppressAutoHyphens w:val="true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objętości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przypisania kolejności wykonywania pomiarów do danego użytkownika, funkcja automatycznego rozpoczynania kolejnego pomiaru po wykonaniu uprzedniego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31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Funkcja obrazująca powiększenie znacznika pomiarowego (lupa), pozwalająca wykonywać pomiary z bardzo dużą precyzją bez konieczności powiększania obszaru zainteresowania. Okno powiększenia wyświetlone poza obrazem diagnostycznym.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Głowice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BFBFB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Głowica mikro convex wykonana w technologii Single Cristal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- zakres częstotliwości pracy min. 1-8  MHz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( +/- 1 MHz)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160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- kąt skanowania:  min. 70°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możliwość pracy z przystawką biopsyjną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TAK, opisac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/>
            </w:pPr>
            <w:r>
              <w:rPr/>
              <w:t>Głowica convex</w:t>
            </w:r>
          </w:p>
        </w:tc>
        <w:tc>
          <w:tcPr>
            <w:tcW w:w="2549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/>
            </w:pPr>
            <w:r>
              <w:rPr/>
              <w:t>TAK</w:t>
            </w:r>
          </w:p>
        </w:tc>
        <w:tc>
          <w:tcPr>
            <w:tcW w:w="1706" w:type="dxa"/>
            <w:tcBorders>
              <w:top w:val="nil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 </w:t>
            </w:r>
            <w:r>
              <w:rPr>
                <w:rFonts w:cs="Calibri" w:ascii="Tahoma" w:hAnsi="Tahoma"/>
                <w:sz w:val="20"/>
                <w:szCs w:val="20"/>
                <w:lang w:eastAsia="en-US"/>
              </w:rPr>
              <w:t>Głowica liniowa do badań   małych narządów powierzchownych, mięśniow-szkieletowych,  naczyniowych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zakres częstotliwości pracy min.  3-14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250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szerokość skanu: min 50 mm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możliwość pracy z przystawką biopsyjną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Aktywny moduł komunikacji DICOM 3.0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300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Videoprinter medyczny cyfrowy B/W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Możliwości rozbudowy aparatu dostępne na dzień składania oferty: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A6A6A6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obrazowanie panoramiczne dostępne na głowicach liniowych oraz convex. 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>Możliwość rozbudowy o 3D/4D z możliwością wyświetlania 12 równoległych warstw.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 xml:space="preserve"> 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zaawansowane obrazowanie 4D umożliwiające zrobienie bardzo realistycznych projekcji płodu, co pozwala na dokładniejszą i szybszą diagnostykę wad u płodu. Oprogramowanie wyposażone w funkcje przezierności tkanki oraz wirtualnego oświetlania struktury z dowolnego kąta.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501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Oprogramowanie do wyznaczania rzeczywistej objętości organu/zmiany w zapamiętanych wolumenach skanowania</w:t>
            </w:r>
          </w:p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Tryby:</w:t>
            </w:r>
          </w:p>
          <w:p>
            <w:pPr>
              <w:pStyle w:val="Normal"/>
              <w:numPr>
                <w:ilvl w:val="0"/>
                <w:numId w:val="5"/>
              </w:numPr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ręczny</w:t>
            </w:r>
          </w:p>
          <w:p>
            <w:pPr>
              <w:pStyle w:val="Normal"/>
              <w:numPr>
                <w:ilvl w:val="0"/>
                <w:numId w:val="5"/>
              </w:numPr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półautomatyczny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automatyczny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>Możliwość rozbudowy o Obrazowanie elastograficzne dostępne na głowicach liniowych oraz endokawitarnych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głowicę endowaginalną wolumetryczną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- pracującą w zakresie min. 5-9 MHz,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- kąt pola widzenia min.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150°x 80°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- ilość elemtów: min. 190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convex wolumetryczna wykonana w technologii Single Cristal lub matrycowej do badań ginekologiczno-położniczych, serca płodu oraz brzusznych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- zakres częstotliwości pracy min. 1-9  MHz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 xml:space="preserve">( +/- 1 MHz) 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190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kąt skanowania:  min. 70° x 70°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możliwość pracy z przystawką biopsyjną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Phased Array do badań kardiologicznych, TCD oraz brzusznych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zakres częstotliwości pracy min. 2-4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80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kąt skanowania:  min. 90°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Phased Array do badań kardiologicznych pediatrycznych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zakres częstotliwości pracy min. 3-8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ilość elementów: min. 80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 kąt skanowania:  min. 90°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liniową do badań mięśniowo-szkieletowych, małych narządów, naczyniowych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Zakres częstotliwości pracy min. 4-16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-Ilość elementów: min. 190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-szerokość skanu: max 40 mm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-możliwość podłączenia przystawki biopsyjnej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Możliwość rozbudowy o głowicę microconvex do badań naczyniowych oraz pediatrycznych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-Zakres częstotliwości pracy min. 4-9 MHz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-Ilość elementów: min. 128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-Kąt skanowania:  min. 90°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Możliwość rozbudowy o obrazowanie 3D pracy serca płodu bez sygnału synchronizacyjnego ( STIC)</w:t>
            </w:r>
          </w:p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Możliwość rozbudowy o oprogramowanie do automatycznego pomiaru NT i IT na obrazie bryłowym. 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  <w:lang w:eastAsia="ar-SA"/>
              </w:rPr>
              <w:t>Możliwość rozbudowy o funkcję  do automatycznej  detekcji i obrysu pozwalającej na wyznaczania rzeczywistych wymiarów (min. wysokość, szerokość, grubość, objętość poszczególnych pęcherzyków  w jajniku). 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aplikację  służąca do w pełni automatycznego pomiaru kompleksu IMT wraz z podaniem współczynnika jakości wykonanego obrysu z opcją obliczania ryzyka chorób układu sercowo-naczyniowego w ciągu 10 lat na podstawie Skali Framingham’a.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trHeight w:val="1302" w:hRule="atLeast"/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ar-SA"/>
              </w:rPr>
            </w:pPr>
            <w:r>
              <w:rPr>
                <w:rFonts w:cs="Calibri" w:ascii="Tahoma" w:hAnsi="Tahoma"/>
                <w:sz w:val="20"/>
                <w:szCs w:val="20"/>
              </w:rPr>
              <w:t xml:space="preserve">Możliwość rozbudowy o opcję STRAIN (z prezentacją wyniku w formie Bull’s Eye)  oraz STRESS ECHO. </w:t>
            </w:r>
            <w:r>
              <w:rPr>
                <w:rFonts w:cs="Calibri" w:ascii="Tahoma" w:hAnsi="Tahoma"/>
                <w:sz w:val="20"/>
                <w:szCs w:val="20"/>
                <w:lang w:eastAsia="ar-SA"/>
              </w:rPr>
              <w:t>(możliwość czasowego uruchomienia funkcji w aparacie w celu demonstracji)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>V</w:t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b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b/>
                <w:sz w:val="20"/>
                <w:szCs w:val="20"/>
                <w:lang w:eastAsia="en-US"/>
              </w:rPr>
              <w:t xml:space="preserve">Inne 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Instrukcja obsługi urządzenia w języku polskim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  <w:tr>
        <w:trPr>
          <w:cantSplit w:val="false"/>
        </w:trPr>
        <w:tc>
          <w:tcPr>
            <w:tcW w:w="5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left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  <w:tc>
          <w:tcPr>
            <w:tcW w:w="43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jc w:val="both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Gwarancja min. 36 miesięcy, bezpłatna gwarancja min. 36 miesięcy</w:t>
            </w:r>
          </w:p>
        </w:tc>
        <w:tc>
          <w:tcPr>
            <w:tcW w:w="2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1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  <w:right w:val="single" w:sz="4" w:space="0" w:color="00000A"/>
              <w:insideV w:val="single" w:sz="4" w:space="0" w:color="00000A"/>
            </w:tcBorders>
            <w:shd w:fill="FFFFFF" w:val="clear"/>
            <w:tcMar>
              <w:left w:w="93" w:type="dxa"/>
            </w:tcMar>
          </w:tcPr>
          <w:p>
            <w:pPr>
              <w:pStyle w:val="Normal"/>
              <w:rPr>
                <w:rFonts w:cs="Calibri" w:ascii="Tahoma" w:hAnsi="Tahoma"/>
                <w:sz w:val="20"/>
                <w:szCs w:val="20"/>
                <w:lang w:eastAsia="en-US"/>
              </w:rPr>
            </w:pPr>
            <w:r>
              <w:rPr>
                <w:rFonts w:cs="Calibri" w:ascii="Tahoma" w:hAnsi="Tahoma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  <w:t>UWAGA :</w:t>
        <w:tab/>
        <w:t>Nie spełnienie wymaganych parametrów i warunków spowoduje odrzucenie oferty.</w:t>
      </w:r>
    </w:p>
    <w:p>
      <w:pPr>
        <w:pStyle w:val="Normal"/>
        <w:rPr>
          <w:rFonts w:cs="Arial" w:ascii="Tahoma" w:hAnsi="Tahoma"/>
          <w:b/>
          <w:sz w:val="20"/>
          <w:szCs w:val="20"/>
        </w:rPr>
      </w:pPr>
      <w:r>
        <w:rPr>
          <w:rFonts w:cs="Arial" w:ascii="Tahoma" w:hAnsi="Tahoma"/>
          <w:b/>
          <w:sz w:val="20"/>
          <w:szCs w:val="20"/>
        </w:rPr>
      </w:r>
    </w:p>
    <w:p>
      <w:pPr>
        <w:pStyle w:val="Normal"/>
        <w:tabs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</w:tabs>
        <w:jc w:val="both"/>
        <w:rPr>
          <w:rFonts w:cs="Calibri" w:ascii="Tahoma" w:hAnsi="Tahoma"/>
          <w:b/>
          <w:sz w:val="20"/>
          <w:szCs w:val="20"/>
          <w:lang w:eastAsia="en-US"/>
        </w:rPr>
      </w:pPr>
      <w:r>
        <w:rPr>
          <w:rFonts w:cs="Calibri" w:ascii="Tahoma" w:hAnsi="Tahoma"/>
          <w:b/>
          <w:sz w:val="20"/>
          <w:szCs w:val="20"/>
          <w:lang w:eastAsia="en-US"/>
        </w:rPr>
        <w:t>Dostawa, montaż, uruchomienie i przeszkolenie personelu na koszt Wykonawcy.</w:t>
      </w:r>
    </w:p>
    <w:sectPr>
      <w:headerReference w:type="default" r:id="rId2"/>
      <w:footerReference w:type="default" r:id="rId3"/>
      <w:type w:val="nextPage"/>
      <w:pgSz w:w="11906" w:h="16838"/>
      <w:pgMar w:left="1417" w:right="1417" w:header="708" w:top="1425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 Black"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Normal"/>
      <w:widowControl w:val="false"/>
      <w:tabs>
        <w:tab w:val="left" w:pos="560" w:leader="none"/>
        <w:tab w:val="left" w:pos="1120" w:leader="none"/>
        <w:tab w:val="left" w:pos="1680" w:leader="none"/>
        <w:tab w:val="left" w:pos="2240" w:leader="none"/>
        <w:tab w:val="left" w:pos="2800" w:leader="none"/>
        <w:tab w:val="left" w:pos="3360" w:leader="none"/>
        <w:tab w:val="left" w:pos="3920" w:leader="none"/>
        <w:tab w:val="left" w:pos="4480" w:leader="none"/>
        <w:tab w:val="left" w:pos="5040" w:leader="none"/>
        <w:tab w:val="left" w:pos="5600" w:leader="none"/>
        <w:tab w:val="left" w:pos="6160" w:leader="none"/>
        <w:tab w:val="left" w:pos="6720" w:leader="none"/>
      </w:tabs>
      <w:ind w:left="2052" w:right="0" w:hanging="2052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Gwka"/>
      <w:rPr/>
    </w:pPr>
    <w:r>
      <w:rPr/>
      <w:pict>
        <v:line id="shape_0" from="-20.05pt,14.55pt" to="482.2pt,14.85pt" stroked="t" style="position:absolute">
          <v:stroke color="black" weight="6480" joinstyle="miter" endcap="flat"/>
          <v:fill on="false" detectmouseclick="t"/>
        </v:line>
      </w:pic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7BA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91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MS Mincho" w:cs="Times New Roman"/>
        <w:lang w:val="pl-PL" w:eastAsia="pl-PL" w:bidi="ar-SA"/>
      </w:rPr>
    </w:rPrDefault>
    <w:pPrDefault>
      <w:pPr/>
    </w:pPrDefault>
  </w:docDefaults>
  <w:latentStyles w:count="380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unhideWhenUsed="1" w:semiHidden="1" w:uiPriority="9" w:name="heading 2"/>
    <w:lsdException w:qFormat="1" w:unhideWhenUsed="1" w:semiHidden="1" w:uiPriority="9" w:name="heading 3"/>
    <w:lsdException w:qFormat="1" w:unhideWhenUsed="1" w:semiHidden="1" w:uiPriority="9" w:name="heading 4"/>
    <w:lsdException w:qFormat="1" w:unhideWhenUsed="1" w:semiHidden="1" w:uiPriority="9" w:name="heading 5"/>
    <w:lsdException w:qFormat="1" w:unhideWhenUsed="1" w:semiHidden="1" w:uiPriority="9" w:name="heading 6"/>
    <w:lsdException w:qFormat="1" w:unhideWhenUsed="1" w:semiHidden="1" w:uiPriority="9" w:name="heading 7"/>
    <w:lsdException w:qFormat="1" w:unhideWhenUsed="1" w:semiHidden="1" w:uiPriority="9" w:name="heading 8"/>
    <w:lsdException w:qFormat="1" w:unhideWhenUsed="1" w:semiHidden="1" w:uiPriority="9" w:name="heading 9"/>
    <w:lsdException w:unhideWhenUsed="1" w:semiHidden="1" w:name="index 1"/>
    <w:lsdException w:unhideWhenUsed="1" w:semiHidden="1" w:name="index 2"/>
    <w:lsdException w:unhideWhenUsed="1" w:semiHidden="1" w:name="index 3"/>
    <w:lsdException w:unhideWhenUsed="1" w:semiHidden="1" w:name="index 4"/>
    <w:lsdException w:unhideWhenUsed="1" w:semiHidden="1" w:name="index 5"/>
    <w:lsdException w:unhideWhenUsed="1" w:semiHidden="1" w:name="index 6"/>
    <w:lsdException w:unhideWhenUsed="1" w:semiHidden="1" w:name="index 7"/>
    <w:lsdException w:unhideWhenUsed="1" w:semiHidden="1" w:name="index 8"/>
    <w:lsdException w:unhideWhenUsed="1" w:semiHidden="1" w:name="index 9"/>
    <w:lsdException w:unhideWhenUsed="1" w:semiHidden="1" w:uiPriority="39" w:name="toc 1"/>
    <w:lsdException w:unhideWhenUsed="1" w:semiHidden="1" w:uiPriority="39" w:name="toc 2"/>
    <w:lsdException w:unhideWhenUsed="1" w:semiHidden="1" w:uiPriority="39" w:name="toc 3"/>
    <w:lsdException w:unhideWhenUsed="1" w:semiHidden="1" w:uiPriority="39" w:name="toc 4"/>
    <w:lsdException w:unhideWhenUsed="1" w:semiHidden="1" w:uiPriority="39" w:name="toc 5"/>
    <w:lsdException w:unhideWhenUsed="1" w:semiHidden="1" w:uiPriority="39" w:name="toc 6"/>
    <w:lsdException w:unhideWhenUsed="1" w:semiHidden="1" w:uiPriority="39" w:name="toc 7"/>
    <w:lsdException w:unhideWhenUsed="1" w:semiHidden="1" w:uiPriority="39" w:name="toc 8"/>
    <w:lsdException w:unhideWhenUsed="1" w:semiHidden="1" w:uiPriority="39" w:name="toc 9"/>
    <w:lsdException w:unhideWhenUsed="1" w:semiHidden="1" w:name="Normal Indent"/>
    <w:lsdException w:unhideWhenUsed="1" w:semiHidden="1" w:name="footnote text"/>
    <w:lsdException w:unhideWhenUsed="1" w:semiHidden="1" w:name="annotation text"/>
    <w:lsdException w:unhideWhenUsed="1" w:semiHidden="1" w:uiPriority="0" w:name="header"/>
    <w:lsdException w:unhideWhenUsed="1" w:semiHidden="1" w:name="footer"/>
    <w:lsdException w:unhideWhenUsed="1" w:semiHidden="1" w:name="index heading"/>
    <w:lsdException w:qFormat="1" w:unhideWhenUsed="1" w:semiHidden="1" w:uiPriority="35" w:name="caption"/>
    <w:lsdException w:unhideWhenUsed="1" w:semiHidden="1" w:name="table of figures"/>
    <w:lsdException w:unhideWhenUsed="1" w:semiHidden="1" w:name="envelope address"/>
    <w:lsdException w:unhideWhenUsed="1" w:semiHidden="1" w:name="envelope return"/>
    <w:lsdException w:unhideWhenUsed="1" w:semiHidden="1" w:name="footnote reference"/>
    <w:lsdException w:unhideWhenUsed="1" w:semiHidden="1" w:name="annotation reference"/>
    <w:lsdException w:unhideWhenUsed="1" w:semiHidden="1" w:name="line number"/>
    <w:lsdException w:unhideWhenUsed="1" w:semiHidden="1" w:name="page number"/>
    <w:lsdException w:unhideWhenUsed="1" w:semiHidden="1" w:name="endnote reference"/>
    <w:lsdException w:unhideWhenUsed="1" w:semiHidden="1" w:name="endnote text"/>
    <w:lsdException w:unhideWhenUsed="1" w:semiHidden="1" w:name="table of authorities"/>
    <w:lsdException w:unhideWhenUsed="1" w:semiHidden="1" w:name="macro"/>
    <w:lsdException w:unhideWhenUsed="1" w:semiHidden="1" w:name="toa heading"/>
    <w:lsdException w:unhideWhenUsed="1" w:semiHidden="1" w:name="List"/>
    <w:lsdException w:unhideWhenUsed="1" w:semiHidden="1" w:name="List Bullet"/>
    <w:lsdException w:unhideWhenUsed="1" w:semiHidden="1" w:name="List Number"/>
    <w:lsdException w:unhideWhenUsed="1" w:semiHidden="1" w:name="List 2"/>
    <w:lsdException w:unhideWhenUsed="1" w:semiHidden="1" w:name="List 3"/>
    <w:lsdException w:unhideWhenUsed="1" w:semiHidden="1" w:name="List 4"/>
    <w:lsdException w:unhideWhenUsed="1" w:semiHidden="1" w:name="List 5"/>
    <w:lsdException w:unhideWhenUsed="1" w:semiHidden="1" w:name="List Bullet 2"/>
    <w:lsdException w:unhideWhenUsed="1" w:semiHidden="1" w:name="List Bullet 3"/>
    <w:lsdException w:unhideWhenUsed="1" w:semiHidden="1" w:name="List Bullet 4"/>
    <w:lsdException w:unhideWhenUsed="1" w:semiHidden="1" w:name="List Bullet 5"/>
    <w:lsdException w:unhideWhenUsed="1" w:semiHidden="1" w:name="List Number 2"/>
    <w:lsdException w:unhideWhenUsed="1" w:semiHidden="1" w:name="List Number 3"/>
    <w:lsdException w:unhideWhenUsed="1" w:semiHidden="1" w:name="List Number 4"/>
    <w:lsdException w:unhideWhenUsed="1" w:semiHidden="1" w:name="List Number 5"/>
    <w:lsdException w:qFormat="1" w:uiPriority="10" w:name="Title"/>
    <w:lsdException w:unhideWhenUsed="1" w:semiHidden="1" w:name="Closing"/>
    <w:lsdException w:unhideWhenUsed="1" w:semiHidden="1" w:name="Signature"/>
    <w:lsdException w:unhideWhenUsed="1" w:semiHidden="1" w:uiPriority="1" w:name="Default Paragraph Font"/>
    <w:lsdException w:unhideWhenUsed="1" w:semiHidden="1" w:uiPriority="0" w:name="Body Text"/>
    <w:lsdException w:unhideWhenUsed="1" w:semiHidden="1" w:name="Body Text Indent"/>
    <w:lsdException w:unhideWhenUsed="1" w:semiHidden="1" w:name="List Continue"/>
    <w:lsdException w:unhideWhenUsed="1" w:semiHidden="1" w:name="List Continue 2"/>
    <w:lsdException w:unhideWhenUsed="1" w:semiHidden="1" w:name="List Continue 3"/>
    <w:lsdException w:unhideWhenUsed="1" w:semiHidden="1" w:name="List Continue 4"/>
    <w:lsdException w:unhideWhenUsed="1" w:semiHidden="1" w:name="List Continue 5"/>
    <w:lsdException w:unhideWhenUsed="1" w:semiHidden="1" w:name="Message Header"/>
    <w:lsdException w:qFormat="1" w:uiPriority="11" w:name="Subtitle"/>
    <w:lsdException w:unhideWhenUsed="1" w:semiHidden="1" w:name="Salutation"/>
    <w:lsdException w:unhideWhenUsed="1" w:semiHidden="1" w:name="Date"/>
    <w:lsdException w:unhideWhenUsed="1" w:semiHidden="1" w:name="Body Text First Indent"/>
    <w:lsdException w:unhideWhenUsed="1" w:semiHidden="1" w:name="Body Text First Indent 2"/>
    <w:lsdException w:unhideWhenUsed="1" w:semiHidden="1" w:name="Note Heading"/>
    <w:lsdException w:unhideWhenUsed="1" w:semiHidden="1" w:name="Body Text 2"/>
    <w:lsdException w:unhideWhenUsed="1" w:semiHidden="1" w:name="Body Text 3"/>
    <w:lsdException w:unhideWhenUsed="1" w:semiHidden="1" w:name="Body Text Indent 2"/>
    <w:lsdException w:unhideWhenUsed="1" w:semiHidden="1" w:name="Body Text Indent 3"/>
    <w:lsdException w:unhideWhenUsed="1" w:semiHidden="1" w:name="Block Text"/>
    <w:lsdException w:unhideWhenUsed="1" w:semiHidden="1" w:name="Hyperlink"/>
    <w:lsdException w:unhideWhenUsed="1" w:semiHidden="1" w:name="FollowedHyperlink"/>
    <w:lsdException w:qFormat="1" w:uiPriority="22" w:name="Strong"/>
    <w:lsdException w:qFormat="1" w:uiPriority="20" w:name="Emphasis"/>
    <w:lsdException w:unhideWhenUsed="1" w:semiHidden="1" w:name="Document Map"/>
    <w:lsdException w:unhideWhenUsed="1" w:semiHidden="1" w:name="Plain Text"/>
    <w:lsdException w:unhideWhenUsed="1" w:semiHidden="1" w:name="E-mail Signature"/>
    <w:lsdException w:unhideWhenUsed="1" w:semiHidden="1" w:name="HTML Top of Form"/>
    <w:lsdException w:unhideWhenUsed="1" w:semiHidden="1" w:name="HTML Bottom of Form"/>
    <w:lsdException w:unhideWhenUsed="1" w:semiHidden="1" w:name="Normal (Web)"/>
    <w:lsdException w:unhideWhenUsed="1" w:semiHidden="1" w:name="HTML Acronym"/>
    <w:lsdException w:unhideWhenUsed="1" w:semiHidden="1" w:name="HTML Address"/>
    <w:lsdException w:unhideWhenUsed="1" w:semiHidden="1" w:name="HTML Cite"/>
    <w:lsdException w:unhideWhenUsed="1" w:semiHidden="1" w:name="HTML Code"/>
    <w:lsdException w:unhideWhenUsed="1" w:semiHidden="1" w:name="HTML Definition"/>
    <w:lsdException w:unhideWhenUsed="1" w:semiHidden="1" w:name="HTML Keyboard"/>
    <w:lsdException w:unhideWhenUsed="1" w:semiHidden="1" w:name="HTML Preformatted"/>
    <w:lsdException w:unhideWhenUsed="1" w:semiHidden="1" w:name="HTML Sample"/>
    <w:lsdException w:unhideWhenUsed="1" w:semiHidden="1" w:name="HTML Typewriter"/>
    <w:lsdException w:unhideWhenUsed="1" w:semiHidden="1" w:name="HTML Variable"/>
    <w:lsdException w:unhideWhenUsed="1" w:semiHidden="1" w:name="Normal Table"/>
    <w:lsdException w:unhideWhenUsed="1" w:semiHidden="1" w:name="annotation subject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Subtle 2"/>
    <w:lsdException w:unhideWhenUsed="1" w:semiHidden="1" w:name="Table Web 1"/>
    <w:lsdException w:unhideWhenUsed="1" w:semiHidden="1" w:name="Table Web 2"/>
    <w:lsdException w:unhideWhenUsed="1" w:semiHidden="1" w:name="Table Web 3"/>
    <w:lsdException w:unhideWhenUsed="1" w:semiHidden="1" w:name="Balloon Text"/>
    <w:lsdException w:uiPriority="59" w:name="Table Grid"/>
    <w:lsdException w:unhideWhenUsed="1" w:semiHidden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Calibri" w:hAnsi="Calibri" w:eastAsia="MS Mincho" w:cs="Times New Roman"/>
      <w:color w:val="00000A"/>
      <w:sz w:val="24"/>
      <w:szCs w:val="24"/>
      <w:lang w:val="pl-PL" w:eastAsia="pl-PL" w:bidi="ar-SA"/>
    </w:rPr>
  </w:style>
  <w:style w:type="paragraph" w:styleId="Nagwek1">
    <w:name w:val="Nagłówek 1"/>
    <w:uiPriority w:val="9"/>
    <w:qFormat/>
    <w:link w:val="Nagwek1Znak"/>
    <w:rsid w:val="009d65c7"/>
    <w:basedOn w:val="Normal"/>
    <w:pPr>
      <w:keepNext/>
      <w:keepLines/>
      <w:spacing w:before="240" w:after="0"/>
      <w:outlineLvl w:val="0"/>
    </w:pPr>
    <w:rPr>
      <w:rFonts w:ascii="Calibri Light" w:hAnsi="Calibri Light" w:cs=""/>
      <w:color w:val="2E74B5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agwekZnak" w:customStyle="1">
    <w:name w:val="Nagłówek Znak"/>
    <w:link w:val="Nagwek"/>
    <w:rsid w:val="00231221"/>
    <w:basedOn w:val="DefaultParagraphFont"/>
    <w:rPr/>
  </w:style>
  <w:style w:type="character" w:styleId="StopkaZnak" w:customStyle="1">
    <w:name w:val="Stopka Znak"/>
    <w:uiPriority w:val="99"/>
    <w:link w:val="Stopka"/>
    <w:rsid w:val="00231221"/>
    <w:basedOn w:val="DefaultParagraphFont"/>
    <w:rPr/>
  </w:style>
  <w:style w:type="character" w:styleId="Czeinternetowe">
    <w:name w:val="Łącze internetowe"/>
    <w:uiPriority w:val="99"/>
    <w:unhideWhenUsed/>
    <w:rsid w:val="0015653f"/>
    <w:basedOn w:val="DefaultParagraphFont"/>
    <w:rPr>
      <w:color w:val="0563C1"/>
      <w:u w:val="single"/>
      <w:lang w:val="zxx" w:eastAsia="zxx" w:bidi="zxx"/>
    </w:rPr>
  </w:style>
  <w:style w:type="character" w:styleId="NAGWEK1ACTIONMEDZnak" w:customStyle="1">
    <w:name w:val="NAGŁÓWEK 1 ACTIONMED Znak"/>
    <w:link w:val="NAGWEK1ACTIONMED"/>
    <w:rsid w:val="009d65c7"/>
    <w:rPr>
      <w:rFonts w:ascii="Calibri" w:hAnsi="Calibri" w:cs=""/>
      <w:b/>
      <w:color w:val="007BAC"/>
      <w:sz w:val="32"/>
      <w:szCs w:val="32"/>
    </w:rPr>
  </w:style>
  <w:style w:type="character" w:styleId="NAGWEK2ACTIONMEDZnak" w:customStyle="1">
    <w:name w:val="NAGŁÓWEK 2 ACTIONMED Znak"/>
    <w:link w:val="NAGWEK2ACTIONMED"/>
    <w:rsid w:val="009d65c7"/>
    <w:basedOn w:val="NAGWEK1ACTIONMEDZnak"/>
    <w:rPr>
      <w:rFonts w:ascii="Calibri" w:hAnsi="Calibri" w:cs=""/>
      <w:b/>
      <w:color w:val="007BAC"/>
      <w:sz w:val="28"/>
      <w:szCs w:val="28"/>
    </w:rPr>
  </w:style>
  <w:style w:type="character" w:styleId="Nagwek1Znak" w:customStyle="1">
    <w:name w:val="Nagłówek 1 Znak"/>
    <w:uiPriority w:val="9"/>
    <w:link w:val="Nagwek1"/>
    <w:rsid w:val="009d65c7"/>
    <w:basedOn w:val="DefaultParagraphFont"/>
    <w:rPr>
      <w:rFonts w:ascii="Calibri Light" w:hAnsi="Calibri Light" w:cs=""/>
      <w:color w:val="2E74B5"/>
      <w:sz w:val="32"/>
      <w:szCs w:val="32"/>
    </w:rPr>
  </w:style>
  <w:style w:type="character" w:styleId="Hyperlink1" w:customStyle="1">
    <w:name w:val="Hyperlink.1"/>
    <w:rsid w:val="00d962e3"/>
    <w:basedOn w:val="DefaultParagraphFont"/>
    <w:rPr>
      <w:b/>
      <w:bCs/>
      <w:color w:val="011A98"/>
      <w:u w:val="single"/>
    </w:rPr>
  </w:style>
  <w:style w:type="character" w:styleId="TekstpodstawowyZnak" w:customStyle="1">
    <w:name w:val="Tekst podstawowy Znak"/>
    <w:link w:val="Tekstpodstawowy"/>
    <w:rsid w:val="00d962e3"/>
    <w:basedOn w:val="DefaultParagraphFont"/>
    <w:rPr>
      <w:rFonts w:ascii="Times New Roman" w:hAnsi="Times New Roman" w:eastAsia="Times New Roman"/>
      <w:b/>
      <w:bCs/>
      <w:sz w:val="24"/>
      <w:szCs w:val="19"/>
      <w:u w:val="none" w:color="000000"/>
    </w:rPr>
  </w:style>
  <w:style w:type="character" w:styleId="Hyperlink0" w:customStyle="1">
    <w:name w:val="Hyperlink.0"/>
    <w:rsid w:val="00f8753c"/>
    <w:basedOn w:val="DefaultParagraphFont"/>
    <w:rPr>
      <w:rFonts w:ascii="Tahoma" w:hAnsi="Tahoma" w:eastAsia="Tahoma" w:cs="Tahoma"/>
      <w:color w:val="0432FE"/>
      <w:u w:val="single" w:color="0432FE"/>
    </w:rPr>
  </w:style>
  <w:style w:type="character" w:styleId="FollowedHyperlink">
    <w:name w:val="FollowedHyperlink"/>
    <w:uiPriority w:val="99"/>
    <w:semiHidden/>
    <w:unhideWhenUsed/>
    <w:rsid w:val="008676e4"/>
    <w:basedOn w:val="DefaultParagraphFont"/>
    <w:rPr>
      <w:color w:val="954F72"/>
      <w:u w:val="single"/>
    </w:rPr>
  </w:style>
  <w:style w:type="character" w:styleId="Appleconvertedspace" w:customStyle="1">
    <w:name w:val="apple-converted-space"/>
    <w:rsid w:val="00446479"/>
    <w:basedOn w:val="DefaultParagraphFont"/>
    <w:rPr/>
  </w:style>
  <w:style w:type="character" w:styleId="Strong">
    <w:name w:val="Strong"/>
    <w:uiPriority w:val="22"/>
    <w:qFormat/>
    <w:rsid w:val="00446479"/>
    <w:basedOn w:val="DefaultParagraphFont"/>
    <w:rPr>
      <w:b/>
      <w:bCs/>
    </w:rPr>
  </w:style>
  <w:style w:type="character" w:styleId="ListLabel1">
    <w:name w:val="ListLabel 1"/>
    <w:rPr>
      <w:rFonts w:cs="Times New Roman"/>
    </w:rPr>
  </w:style>
  <w:style w:type="character" w:styleId="ListLabel2">
    <w:name w:val="ListLabel 2"/>
    <w:rPr>
      <w:rFonts w:cs=""/>
      <w:color w:val="007BAC"/>
    </w:rPr>
  </w:style>
  <w:style w:type="character" w:styleId="ListLabel3">
    <w:name w:val="ListLabel 3"/>
    <w:rPr>
      <w:rFonts w:cs="Courier New"/>
    </w:rPr>
  </w:style>
  <w:style w:type="character" w:styleId="ListLabel4">
    <w:name w:val="ListLabel 4"/>
    <w:rPr>
      <w:sz w:val="24"/>
      <w:szCs w:val="24"/>
    </w:rPr>
  </w:style>
  <w:style w:type="character" w:styleId="ListLabel5">
    <w:name w:val="ListLabel 5"/>
    <w:rPr>
      <w:rFonts w:cs="Symbol"/>
      <w:color w:val="007BAC"/>
    </w:rPr>
  </w:style>
  <w:style w:type="character" w:styleId="ListLabel6">
    <w:name w:val="ListLabel 6"/>
    <w:rPr>
      <w:rFonts w:cs="Courier New"/>
    </w:rPr>
  </w:style>
  <w:style w:type="character" w:styleId="ListLabel7">
    <w:name w:val="ListLabel 7"/>
    <w:rPr>
      <w:rFonts w:cs="Wingdings"/>
    </w:rPr>
  </w:style>
  <w:style w:type="character" w:styleId="ListLabel8">
    <w:name w:val="ListLabel 8"/>
    <w:rPr>
      <w:rFonts w:cs="Symbol"/>
    </w:rPr>
  </w:style>
  <w:style w:type="character" w:styleId="ListLabel9">
    <w:name w:val="ListLabel 9"/>
    <w:rPr>
      <w:rFonts w:cs="Symbol"/>
      <w:color w:val="007BAC"/>
    </w:rPr>
  </w:style>
  <w:style w:type="character" w:styleId="ListLabel10">
    <w:name w:val="ListLabel 10"/>
    <w:rPr>
      <w:rFonts w:cs="Courier New"/>
    </w:rPr>
  </w:style>
  <w:style w:type="character" w:styleId="ListLabel11">
    <w:name w:val="ListLabel 11"/>
    <w:rPr>
      <w:rFonts w:cs="Wingdings"/>
    </w:rPr>
  </w:style>
  <w:style w:type="character" w:styleId="ListLabel12">
    <w:name w:val="ListLabel 12"/>
    <w:rPr>
      <w:rFonts w:cs="Symbol"/>
    </w:rPr>
  </w:style>
  <w:style w:type="character" w:styleId="ListLabel13">
    <w:name w:val="ListLabel 13"/>
    <w:rPr>
      <w:rFonts w:cs="Symbol"/>
      <w:color w:val="007BAC"/>
    </w:rPr>
  </w:style>
  <w:style w:type="character" w:styleId="ListLabel14">
    <w:name w:val="ListLabel 14"/>
    <w:rPr>
      <w:rFonts w:cs="Courier New"/>
    </w:rPr>
  </w:style>
  <w:style w:type="character" w:styleId="ListLabel15">
    <w:name w:val="ListLabel 15"/>
    <w:rPr>
      <w:rFonts w:cs="Wingdings"/>
    </w:rPr>
  </w:style>
  <w:style w:type="character" w:styleId="ListLabel16">
    <w:name w:val="ListLabel 16"/>
    <w:rPr>
      <w:rFonts w:cs="Symbol"/>
    </w:rPr>
  </w:style>
  <w:style w:type="paragraph" w:styleId="Nagwek">
    <w:name w:val="Nagłówek"/>
    <w:basedOn w:val="Normal"/>
    <w:next w:val="Treteks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link w:val="TekstpodstawowyZnak"/>
    <w:rsid w:val="00d962e3"/>
    <w:basedOn w:val="Normal"/>
    <w:pPr>
      <w:spacing w:lineRule="auto" w:line="288" w:before="0" w:after="140"/>
    </w:pPr>
    <w:rPr>
      <w:rFonts w:ascii="Times New Roman" w:hAnsi="Times New Roman" w:eastAsia="Times New Roman"/>
      <w:b/>
      <w:bCs/>
      <w:szCs w:val="19"/>
      <w:u w:val="none" w:color="000000"/>
    </w:rPr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pPr>
      <w:suppressLineNumbers/>
    </w:pPr>
    <w:rPr>
      <w:rFonts w:cs="Mangal"/>
    </w:rPr>
  </w:style>
  <w:style w:type="paragraph" w:styleId="Gwka">
    <w:name w:val="Główka"/>
    <w:unhideWhenUsed/>
    <w:link w:val="NagwekZnak"/>
    <w:rsid w:val="00231221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Stopka">
    <w:name w:val="Stopka"/>
    <w:uiPriority w:val="99"/>
    <w:unhideWhenUsed/>
    <w:link w:val="StopkaZnak"/>
    <w:rsid w:val="00231221"/>
    <w:basedOn w:val="Normal"/>
    <w:pPr>
      <w:tabs>
        <w:tab w:val="center" w:pos="4536" w:leader="none"/>
        <w:tab w:val="right" w:pos="9072" w:leader="none"/>
      </w:tabs>
    </w:pPr>
    <w:rPr/>
  </w:style>
  <w:style w:type="paragraph" w:styleId="ListParagraph">
    <w:name w:val="List Paragraph"/>
    <w:uiPriority w:val="34"/>
    <w:qFormat/>
    <w:rsid w:val="009d65c7"/>
    <w:basedOn w:val="Normal"/>
    <w:pPr>
      <w:spacing w:lineRule="auto" w:line="276" w:before="0" w:after="200"/>
      <w:ind w:left="720" w:right="0" w:hanging="0"/>
      <w:contextualSpacing/>
      <w:jc w:val="both"/>
    </w:pPr>
    <w:rPr>
      <w:rFonts w:ascii="Calibri" w:hAnsi="Calibri" w:cs="Calibri"/>
      <w:sz w:val="22"/>
      <w:szCs w:val="22"/>
    </w:rPr>
  </w:style>
  <w:style w:type="paragraph" w:styleId="NAGWEK1ACTIONMED" w:customStyle="1">
    <w:name w:val="NAGŁÓWEK 1 ACTIONMED"/>
    <w:qFormat/>
    <w:link w:val="NAGWEK1ACTIONMEDZnak"/>
    <w:rsid w:val="009d65c7"/>
    <w:basedOn w:val="Nagwek1"/>
    <w:pPr>
      <w:spacing w:lineRule="auto" w:line="276"/>
      <w:jc w:val="both"/>
    </w:pPr>
    <w:rPr>
      <w:rFonts w:ascii="Calibri" w:hAnsi="Calibri"/>
      <w:b/>
      <w:color w:val="007BAC"/>
    </w:rPr>
  </w:style>
  <w:style w:type="paragraph" w:styleId="NAGWEK2ACTIONMED" w:customStyle="1">
    <w:name w:val="NAGŁÓWEK 2 ACTIONMED"/>
    <w:qFormat/>
    <w:link w:val="NAGWEK2ACTIONMEDZnak"/>
    <w:rsid w:val="009d65c7"/>
    <w:basedOn w:val="NAGWEK1ACTIONMED"/>
    <w:pPr/>
    <w:rPr>
      <w:sz w:val="28"/>
      <w:szCs w:val="28"/>
    </w:rPr>
  </w:style>
  <w:style w:type="paragraph" w:styleId="Nazwaprzedsibiorstwa" w:customStyle="1">
    <w:name w:val="Nazwa przedsiębiorstwa"/>
    <w:rsid w:val="00800c60"/>
    <w:pPr>
      <w:widowControl/>
      <w:pBdr>
        <w:top w:val="nil"/>
        <w:left w:val="nil"/>
        <w:bottom w:val="nil"/>
        <w:right w:val="nil"/>
      </w:pBdr>
      <w:suppressAutoHyphens w:val="true"/>
      <w:bidi w:val="0"/>
      <w:spacing w:lineRule="atLeast" w:line="280"/>
      <w:jc w:val="both"/>
    </w:pPr>
    <w:rPr>
      <w:rFonts w:ascii="Arial Black" w:hAnsi="Arial Black" w:eastAsia="Arial Unicode MS" w:cs="Arial Unicode MS"/>
      <w:color w:val="000000"/>
      <w:spacing w:val="-25"/>
      <w:sz w:val="32"/>
      <w:szCs w:val="32"/>
      <w:u w:val="none" w:color="000000"/>
      <w:lang w:val="pl-PL" w:eastAsia="pl-PL" w:bidi="ar-SA"/>
    </w:rPr>
  </w:style>
  <w:style w:type="paragraph" w:styleId="Adreszwrotny1" w:customStyle="1">
    <w:name w:val="Adres zwrotny 1"/>
    <w:rsid w:val="00800c60"/>
    <w:pPr>
      <w:keepLines/>
      <w:widowControl/>
      <w:pBdr>
        <w:top w:val="nil"/>
        <w:left w:val="nil"/>
        <w:bottom w:val="nil"/>
        <w:right w:val="nil"/>
      </w:pBdr>
      <w:tabs>
        <w:tab w:val="left" w:pos="2160" w:leader="none"/>
      </w:tabs>
      <w:suppressAutoHyphens w:val="true"/>
      <w:bidi w:val="0"/>
      <w:spacing w:lineRule="atLeast" w:line="160"/>
      <w:jc w:val="left"/>
    </w:pPr>
    <w:rPr>
      <w:rFonts w:ascii="Arial" w:hAnsi="Arial" w:eastAsia="Arial Unicode MS" w:cs="Arial Unicode MS"/>
      <w:color w:val="000000"/>
      <w:sz w:val="14"/>
      <w:szCs w:val="14"/>
      <w:u w:val="none" w:color="000000"/>
      <w:lang w:val="pl-PL" w:eastAsia="pl-PL" w:bidi="ar-SA"/>
    </w:rPr>
  </w:style>
  <w:style w:type="paragraph" w:styleId="NormalWeb">
    <w:name w:val="Normal (Web)"/>
    <w:uiPriority w:val="99"/>
    <w:unhideWhenUsed/>
    <w:rsid w:val="00df569d"/>
    <w:basedOn w:val="Normal"/>
    <w:pPr>
      <w:spacing w:before="0" w:after="280"/>
    </w:pPr>
    <w:rPr>
      <w:rFonts w:ascii="Times New Roman" w:hAnsi="Times New Roman" w:eastAsia="Arial Unicode MS"/>
      <w:u w:val="none" w:color="000000"/>
    </w:rPr>
  </w:style>
  <w:style w:type="paragraph" w:styleId="Zawartoramki">
    <w:name w:val="Zawartość ramki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d962e3"/>
    <w:rPr>
      <w:rFonts w:cstheme="minorBidi" w:eastAsiaTheme="minorHAnsi" w:hAnsiTheme="minorHAnsi" w:asciiTheme="minorHAnsi"/>
      <w:lang w:eastAsia="en-US"/>
      <w:sz w:val="22"/>
      <w:szCs w:val="22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0E5AF2-D9B3-9547-A74E-5B4BBF6B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Samsung HS70 A with Prime.dotx</Template>
  <TotalTime>1</TotalTime>
  <Application>Microsoft Macintosh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2019-08-28T20:34:00Z</dcterms:created>
  <dc:creator>Patryk Mickiewicz</dc:creator>
  <dc:language>pl-PL</dc:language>
  <cp:lastModifiedBy>Juliusz Monkosa</cp:lastModifiedBy>
  <cp:lastPrinted>2018-12-03T15:28:00Z</cp:lastPrinted>
  <dcterms:modified xsi:type="dcterms:W3CDTF">2019-08-28T20:34:00Z</dcterms:modified>
  <cp:revision>2</cp:revision>
</cp:coreProperties>
</file>